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46C3931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Introduction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C39BFD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79A134AF" w14:textId="2FF8C631"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6300F74A"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77777777" w:rsidR="00AA1D9C" w:rsidRPr="00AA1D9C" w:rsidRDefault="001E52B3"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4704E636" w14:textId="77777777"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2C181FA8"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77777777"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77777777"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1B1A431A"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77777777"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77777777" w:rsidR="00222AD6" w:rsidRPr="00B0403D" w:rsidRDefault="001E52B3"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262CF971" w14:textId="77777777"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6D59040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0AFCCE13" w14:textId="77777777"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368164E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1D07B27B"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lastRenderedPageBreak/>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4B56C8A3"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5B5BF8A5"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725EAD34" w14:textId="77777777" w:rsidR="00CE29AE" w:rsidRDefault="001E52B3"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352786DF" w14:textId="77777777"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486DF0E7"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w:lastRenderedPageBreak/>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3CBFAA3B" w14:textId="77777777"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77777777"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0AB76916" w14:textId="77777777" w:rsidR="005B0147" w:rsidRDefault="001E52B3"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39471542" w14:textId="77777777" w:rsidR="005B0147" w:rsidRDefault="001E52B3"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77075B84"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w:t>
      </w:r>
      <w:r w:rsidRPr="00B0403D">
        <w:rPr>
          <w:rFonts w:ascii="Times New Roman" w:hAnsi="Times New Roman" w:cs="Times New Roman"/>
          <w:sz w:val="24"/>
          <w:szCs w:val="24"/>
        </w:rPr>
        <w:lastRenderedPageBreak/>
        <w:t xml:space="preserve">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704ECF49" w14:textId="77777777"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1A7318EF" w14:textId="77777777"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7777777"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the following Lokta-Volterra form (equation 11 to 14), so that one can decipher the parameters impacting species’ per capita growth rate. According to Letten et al. the inter- and intra-specific competition coefficients can be expressed as following, </w:t>
      </w:r>
    </w:p>
    <w:p w14:paraId="002712CE" w14:textId="77777777" w:rsid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77777777" w:rsidR="00D3751B" w:rsidRP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77777777" w:rsidR="00D3751B" w:rsidRP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77777777" w:rsid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1BC8EA5B" w14:textId="4B312CA1"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5D36F3E"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14:paraId="1B5F4A4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lastRenderedPageBreak/>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 xml:space="preserve">(e.g. </w:t>
      </w:r>
      <w:r w:rsidRPr="00B0403D">
        <w:rPr>
          <w:rFonts w:ascii="Times New Roman" w:hAnsi="Times New Roman" w:cs="Times New Roman"/>
          <w:sz w:val="24"/>
          <w:szCs w:val="24"/>
        </w:rPr>
        <w:lastRenderedPageBreak/>
        <w:t>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76F823D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1</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w:t>
      </w:r>
      <w:r w:rsidRPr="00B0403D">
        <w:rPr>
          <w:rFonts w:ascii="Times New Roman" w:hAnsi="Times New Roman" w:cs="Times New Roman"/>
          <w:sz w:val="24"/>
          <w:szCs w:val="24"/>
        </w:rPr>
        <w:lastRenderedPageBreak/>
        <w:t xml:space="preserve">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w:t>
      </w:r>
      <w:r w:rsidRPr="00B0403D">
        <w:rPr>
          <w:rFonts w:ascii="Times New Roman" w:hAnsi="Times New Roman" w:cs="Times New Roman"/>
          <w:sz w:val="24"/>
          <w:szCs w:val="24"/>
        </w:rPr>
        <w:lastRenderedPageBreak/>
        <w:t xml:space="preserve">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these empirical methods for evaluating MCT</w:t>
      </w:r>
      <w:r w:rsidR="000D1B82">
        <w:rPr>
          <w:rFonts w:ascii="Times New Roman" w:hAnsi="Times New Roman" w:cs="Times New Roman"/>
          <w:sz w:val="24"/>
          <w:szCs w:val="24"/>
        </w:rPr>
        <w:t xml:space="preserve"> in a given study system</w:t>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F6A6DC5" w14:textId="0D4951BC"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r w:rsidR="00BD7D2B">
        <w:rPr>
          <w:rFonts w:ascii="Times New Roman" w:hAnsi="Times New Roman" w:cs="Times New Roman"/>
          <w:sz w:val="24"/>
          <w:szCs w:val="24"/>
        </w:rPr>
        <w:t xml:space="preserve">According to what we have </w:t>
      </w:r>
      <w:r w:rsidR="00A57201">
        <w:rPr>
          <w:rFonts w:ascii="Times New Roman" w:hAnsi="Times New Roman" w:cs="Times New Roman"/>
          <w:sz w:val="24"/>
          <w:szCs w:val="24"/>
        </w:rPr>
        <w:t xml:space="preserve">mathematically </w:t>
      </w:r>
      <w:r w:rsidR="00BD7D2B">
        <w:rPr>
          <w:rFonts w:ascii="Times New Roman" w:hAnsi="Times New Roman" w:cs="Times New Roman"/>
          <w:sz w:val="24"/>
          <w:szCs w:val="24"/>
        </w:rPr>
        <w:t>shown in the previous section, the</w:t>
      </w:r>
      <w:r w:rsidR="00A57201">
        <w:rPr>
          <w:rFonts w:ascii="Times New Roman" w:hAnsi="Times New Roman" w:cs="Times New Roman"/>
          <w:sz w:val="24"/>
          <w:szCs w:val="24"/>
        </w:rPr>
        <w:t>se five</w:t>
      </w:r>
      <w:r w:rsidR="00BD7D2B">
        <w:rPr>
          <w:rFonts w:ascii="Times New Roman" w:hAnsi="Times New Roman" w:cs="Times New Roman"/>
          <w:sz w:val="24"/>
          <w:szCs w:val="24"/>
        </w:rPr>
        <w:t xml:space="preserve"> methods are</w:t>
      </w:r>
      <w:r w:rsidR="00A57201">
        <w:rPr>
          <w:rFonts w:ascii="Times New Roman" w:hAnsi="Times New Roman" w:cs="Times New Roman"/>
          <w:sz w:val="24"/>
          <w:szCs w:val="24"/>
        </w:rPr>
        <w:t xml:space="preserve"> not identical to each other </w:t>
      </w:r>
      <w:r w:rsidR="00D70762">
        <w:rPr>
          <w:rFonts w:ascii="Times New Roman" w:hAnsi="Times New Roman" w:cs="Times New Roman"/>
          <w:sz w:val="24"/>
          <w:szCs w:val="24"/>
        </w:rPr>
        <w:t xml:space="preserve">in terms of </w:t>
      </w:r>
      <w:r w:rsidR="00A57201">
        <w:rPr>
          <w:rFonts w:ascii="Times New Roman" w:hAnsi="Times New Roman" w:cs="Times New Roman"/>
          <w:sz w:val="24"/>
          <w:szCs w:val="24"/>
        </w:rPr>
        <w:t xml:space="preserve">ND/RFD estimations and thus prediction of coexistence. We also showed that some methods </w:t>
      </w:r>
      <w:r w:rsidR="009B53A2">
        <w:rPr>
          <w:rFonts w:ascii="Times New Roman" w:hAnsi="Times New Roman" w:cs="Times New Roman"/>
          <w:sz w:val="24"/>
          <w:szCs w:val="24"/>
        </w:rPr>
        <w:t xml:space="preserve">are interchangeable when making some tweaks (for example the sensitivity method and the </w:t>
      </w:r>
      <w:proofErr w:type="spellStart"/>
      <w:r w:rsidR="009B53A2">
        <w:rPr>
          <w:rFonts w:ascii="Times New Roman" w:hAnsi="Times New Roman" w:cs="Times New Roman"/>
          <w:sz w:val="24"/>
          <w:szCs w:val="24"/>
        </w:rPr>
        <w:t>Lotka-Volterr</w:t>
      </w:r>
      <w:proofErr w:type="spellEnd"/>
      <w:r w:rsidR="009B53A2">
        <w:rPr>
          <w:rFonts w:ascii="Times New Roman" w:hAnsi="Times New Roman" w:cs="Times New Roman"/>
          <w:sz w:val="24"/>
          <w:szCs w:val="24"/>
        </w:rPr>
        <w:t xml:space="preserve"> model should be interchangeable with a small tweak). </w:t>
      </w:r>
      <w:r w:rsidR="00A57201">
        <w:rPr>
          <w:rFonts w:ascii="Times New Roman" w:hAnsi="Times New Roman" w:cs="Times New Roman"/>
          <w:sz w:val="24"/>
          <w:szCs w:val="24"/>
        </w:rPr>
        <w:t xml:space="preserve">Therefore, </w:t>
      </w:r>
      <w:r w:rsidR="009B53A2">
        <w:rPr>
          <w:rFonts w:ascii="Times New Roman" w:hAnsi="Times New Roman" w:cs="Times New Roman"/>
          <w:sz w:val="24"/>
          <w:szCs w:val="24"/>
        </w:rPr>
        <w:t xml:space="preserve">we do expect these methods are unlikely to give the same ND/RFD estimation and coexistence prediction, although empirical demonstration is still in lack. However, such empirical demonstration is necessary for this field to move forward. </w:t>
      </w:r>
    </w:p>
    <w:p w14:paraId="2101F363" w14:textId="77777777"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14:paraId="62E2E81E" w14:textId="48894340"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could parameterize the Lotka-</w:t>
      </w:r>
      <w:r w:rsidR="005C49C8">
        <w:rPr>
          <w:rFonts w:ascii="Times New Roman" w:hAnsi="Times New Roman" w:cs="Times New Roman"/>
          <w:sz w:val="24"/>
          <w:szCs w:val="24"/>
        </w:rPr>
        <w:lastRenderedPageBreak/>
        <w:t xml:space="preserve">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r w:rsidR="00543372">
        <w:rPr>
          <w:rFonts w:ascii="Times New Roman" w:hAnsi="Times New Roman" w:cs="Times New Roman"/>
          <w:sz w:val="24"/>
          <w:szCs w:val="24"/>
        </w:rPr>
        <w:t xml:space="preserve">For example, if </w:t>
      </w:r>
      <w:r w:rsidR="009B721E">
        <w:rPr>
          <w:rFonts w:ascii="Times New Roman" w:hAnsi="Times New Roman" w:cs="Times New Roman"/>
          <w:sz w:val="24"/>
          <w:szCs w:val="24"/>
        </w:rPr>
        <w:t xml:space="preserve">species </w:t>
      </w:r>
      <w:r w:rsidR="00543372">
        <w:rPr>
          <w:rFonts w:ascii="Times New Roman" w:hAnsi="Times New Roman" w:cs="Times New Roman"/>
          <w:sz w:val="24"/>
          <w:szCs w:val="24"/>
        </w:rPr>
        <w:t>we</w:t>
      </w:r>
      <w:r w:rsidR="009B721E">
        <w:rPr>
          <w:rFonts w:ascii="Times New Roman" w:hAnsi="Times New Roman" w:cs="Times New Roman"/>
          <w:sz w:val="24"/>
          <w:szCs w:val="24"/>
        </w:rPr>
        <w:t>re limited by resources (e.g. nutrients), a positive saturating relationship between the availability of resources and per-capita growth rate</w:t>
      </w:r>
      <w:r w:rsidR="00543372">
        <w:rPr>
          <w:rFonts w:ascii="Times New Roman" w:hAnsi="Times New Roman" w:cs="Times New Roman"/>
          <w:sz w:val="24"/>
          <w:szCs w:val="24"/>
        </w:rPr>
        <w:t xml:space="preserve"> means that density-dependence is weak at low population sizes and stronger at higher population densities</w:t>
      </w:r>
      <w:r w:rsidR="009B721E">
        <w:rPr>
          <w:rFonts w:ascii="Times New Roman" w:hAnsi="Times New Roman" w:cs="Times New Roman"/>
          <w:sz w:val="24"/>
          <w:szCs w:val="24"/>
        </w:rPr>
        <w:t xml:space="preserve">. </w:t>
      </w:r>
      <w:r w:rsidR="00543372">
        <w:rPr>
          <w:rFonts w:ascii="Times New Roman" w:hAnsi="Times New Roman" w:cs="Times New Roman"/>
          <w:sz w:val="24"/>
          <w:szCs w:val="24"/>
        </w:rPr>
        <w:t>Thus</w:t>
      </w:r>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51EB500B"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r w:rsidR="00DC535B">
        <w:rPr>
          <w:rFonts w:ascii="Times New Roman" w:hAnsi="Times New Roman" w:cs="Times New Roman"/>
          <w:sz w:val="24"/>
          <w:szCs w:val="24"/>
        </w:rPr>
        <w:t xml:space="preserve">are known to </w:t>
      </w:r>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w:t>
      </w:r>
      <w:commentRangeStart w:id="0"/>
      <w:commentRangeStart w:id="1"/>
      <w:r w:rsidR="00D20E7A">
        <w:rPr>
          <w:rFonts w:ascii="Times New Roman" w:hAnsi="Times New Roman" w:cs="Times New Roman"/>
          <w:sz w:val="24"/>
          <w:szCs w:val="24"/>
        </w:rPr>
        <w:t>conditions</w:t>
      </w:r>
      <w:commentRangeEnd w:id="0"/>
      <w:r w:rsidR="00DC535B">
        <w:rPr>
          <w:rStyle w:val="CommentReference"/>
        </w:rPr>
        <w:commentReference w:id="0"/>
      </w:r>
      <w:commentRangeEnd w:id="1"/>
      <w:r w:rsidR="00FE5586">
        <w:rPr>
          <w:rStyle w:val="CommentReference"/>
        </w:rPr>
        <w:commentReference w:id="1"/>
      </w:r>
      <w:r w:rsidR="00D20E7A">
        <w:rPr>
          <w:rFonts w:ascii="Times New Roman" w:hAnsi="Times New Roman" w:cs="Times New Roman"/>
          <w:sz w:val="24"/>
          <w:szCs w:val="24"/>
        </w:rPr>
        <w:t xml:space="preserve">. </w:t>
      </w:r>
      <w:r w:rsidR="0025241C">
        <w:rPr>
          <w:rFonts w:ascii="Times New Roman" w:hAnsi="Times New Roman" w:cs="Times New Roman"/>
          <w:sz w:val="24"/>
          <w:szCs w:val="24"/>
        </w:rPr>
        <w:t>For example, i</w:t>
      </w:r>
      <w:r w:rsidR="00D20E7A">
        <w:rPr>
          <w:rFonts w:ascii="Times New Roman" w:hAnsi="Times New Roman" w:cs="Times New Roman"/>
          <w:sz w:val="24"/>
          <w:szCs w:val="24"/>
        </w:rPr>
        <w:t xml:space="preserve">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w:t>
      </w:r>
      <w:r w:rsidR="0025241C">
        <w:rPr>
          <w:rFonts w:ascii="Times New Roman" w:hAnsi="Times New Roman" w:cs="Times New Roman"/>
          <w:sz w:val="24"/>
          <w:szCs w:val="24"/>
        </w:rPr>
        <w:t>e followings</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A87CA8E" w14:textId="4C8AF13A" w:rsidR="005C49C8" w:rsidRPr="0025241C" w:rsidRDefault="00C4550E" w:rsidP="0025241C">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0B84B29"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443A47AE" w14:textId="77777777" w:rsidR="0025241C" w:rsidRDefault="0025241C" w:rsidP="0025241C">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502C9FF" w14:textId="64B64DDA" w:rsidR="004204E8" w:rsidRDefault="004204E8"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Caution 4: Chesson’s inequality for predicting coexistence is only applicable to two-species system.</w:t>
      </w:r>
    </w:p>
    <w:p w14:paraId="40D595B6" w14:textId="3C23FB82" w:rsidR="00493E47" w:rsidRPr="00493E47" w:rsidRDefault="00493E47" w:rsidP="00493E47">
      <w:pPr>
        <w:pStyle w:val="Normal1"/>
        <w:numPr>
          <w:ilvl w:val="2"/>
          <w:numId w:val="1"/>
        </w:numPr>
        <w:spacing w:line="360" w:lineRule="auto"/>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0478057" w14:textId="53A59C15" w:rsidR="00493E47" w:rsidRDefault="00493E47"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Caution 5: </w:t>
      </w:r>
      <w:r w:rsidR="00492A43">
        <w:rPr>
          <w:rFonts w:ascii="Times New Roman" w:hAnsi="Times New Roman" w:cs="Times New Roman"/>
          <w:sz w:val="24"/>
          <w:szCs w:val="24"/>
        </w:rPr>
        <w:t>The ND/RFD framework in the MCT only works in time or space fluctuation independent system</w:t>
      </w:r>
    </w:p>
    <w:p w14:paraId="7F034AD9" w14:textId="0E26ADFB" w:rsidR="0025241C" w:rsidRPr="00F13328" w:rsidRDefault="00492A43" w:rsidP="00840785">
      <w:pPr>
        <w:pStyle w:val="Normal1"/>
        <w:numPr>
          <w:ilvl w:val="2"/>
          <w:numId w:val="1"/>
        </w:numPr>
        <w:spacing w:line="360" w:lineRule="auto"/>
        <w:rPr>
          <w:rFonts w:ascii="Times New Roman" w:hAnsi="Times New Roman" w:cs="Times New Roman"/>
          <w:sz w:val="24"/>
          <w:szCs w:val="24"/>
        </w:rPr>
      </w:pPr>
      <w:r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294556">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7B8987D" w14:textId="77777777" w:rsidR="004044A2" w:rsidRPr="00B0403D" w:rsidRDefault="004044A2" w:rsidP="00B0403D">
      <w:pPr>
        <w:pStyle w:val="Normal1"/>
        <w:spacing w:line="360" w:lineRule="auto"/>
        <w:rPr>
          <w:rFonts w:ascii="Times New Roman" w:hAnsi="Times New Roman" w:cs="Times New Roman"/>
          <w:sz w:val="24"/>
          <w:szCs w:val="24"/>
        </w:rPr>
      </w:pPr>
    </w:p>
    <w:p w14:paraId="6FBEB51F"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2374B92"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14:paraId="1E5AC355" w14:textId="77777777"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BF9BEA" wp14:editId="60CD5425">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77777777"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2CD05E32" w14:textId="77777777"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021FE1C" wp14:editId="731E5CDF">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50BA70AA"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4211981F"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3805B587"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4E11D4D5" w14:textId="77777777" w:rsidR="004044A2" w:rsidRPr="00B0403D" w:rsidRDefault="004044A2" w:rsidP="00B0403D">
      <w:pPr>
        <w:pStyle w:val="Normal1"/>
        <w:spacing w:line="360" w:lineRule="auto"/>
        <w:rPr>
          <w:rFonts w:ascii="Times New Roman" w:hAnsi="Times New Roman" w:cs="Times New Roman"/>
          <w:sz w:val="24"/>
          <w:szCs w:val="24"/>
        </w:rPr>
      </w:pPr>
    </w:p>
    <w:p w14:paraId="1D1ED296"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8C7B01" wp14:editId="0857BE6B">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42818ADA"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EB8962C" w14:textId="77777777" w:rsidR="00107107" w:rsidRPr="00B0403D" w:rsidRDefault="00107107" w:rsidP="00B0403D">
      <w:pPr>
        <w:spacing w:line="360" w:lineRule="auto"/>
        <w:rPr>
          <w:rFonts w:ascii="Times New Roman" w:hAnsi="Times New Roman" w:cs="Times New Roman"/>
          <w:sz w:val="24"/>
          <w:szCs w:val="24"/>
        </w:rPr>
      </w:pPr>
    </w:p>
    <w:p w14:paraId="0A66130B"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2930B550" wp14:editId="4CA87882">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08F5469F" w14:textId="77777777" w:rsidR="00107107" w:rsidRPr="00B0403D" w:rsidRDefault="00107107" w:rsidP="00B0403D">
      <w:pPr>
        <w:spacing w:line="360" w:lineRule="auto"/>
        <w:rPr>
          <w:rFonts w:ascii="Times New Roman" w:hAnsi="Times New Roman" w:cs="Times New Roman"/>
          <w:sz w:val="24"/>
          <w:szCs w:val="24"/>
        </w:rPr>
      </w:pPr>
    </w:p>
    <w:p w14:paraId="44A2E906"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6EF69B1F" w:rsidR="00107107" w:rsidRPr="00B0403D" w:rsidRDefault="00905F2D" w:rsidP="00B0403D">
      <w:pPr>
        <w:spacing w:line="360" w:lineRule="auto"/>
        <w:rPr>
          <w:rFonts w:ascii="Times New Roman" w:hAnsi="Times New Roman" w:cs="Times New Roman"/>
          <w:sz w:val="24"/>
          <w:szCs w:val="24"/>
        </w:rPr>
      </w:pPr>
      <w:bookmarkStart w:id="2" w:name="_GoBack"/>
      <w:r>
        <w:rPr>
          <w:rFonts w:ascii="Times New Roman" w:hAnsi="Times New Roman" w:cs="Times New Roman"/>
          <w:noProof/>
          <w:sz w:val="24"/>
          <w:szCs w:val="24"/>
        </w:rPr>
        <w:lastRenderedPageBreak/>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bookmarkEnd w:id="2"/>
      <w:r w:rsidR="00107107" w:rsidRPr="00B0403D">
        <w:rPr>
          <w:rFonts w:ascii="Times New Roman" w:hAnsi="Times New Roman" w:cs="Times New Roman"/>
          <w:sz w:val="24"/>
          <w:szCs w:val="24"/>
        </w:rPr>
        <w:t xml:space="preserve"> </w:t>
      </w:r>
    </w:p>
    <w:p w14:paraId="60A39CBD" w14:textId="77777777"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8F0F14">
      <w:pgSz w:w="12240" w:h="15840"/>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dwin, Casey" w:date="2018-08-09T08:17:00Z" w:initials="GC">
    <w:p w14:paraId="0479EB83" w14:textId="77777777" w:rsidR="001E52B3" w:rsidRDefault="001E52B3">
      <w:pPr>
        <w:pStyle w:val="CommentText"/>
      </w:pPr>
      <w:r>
        <w:rPr>
          <w:rStyle w:val="CommentReference"/>
        </w:rPr>
        <w:annotationRef/>
      </w:r>
      <w:r>
        <w:t xml:space="preserve">One thing that the </w:t>
      </w:r>
      <w:proofErr w:type="spellStart"/>
      <w:r>
        <w:t>numierical</w:t>
      </w:r>
      <w:proofErr w:type="spellEnd"/>
      <w:r>
        <w:t xml:space="preserve"> simulations show is that knowing the isoclines only will not accurately predict coexistence. Specifically, the ability of a species to sequester excess of the resource that does not limit its own growth rate shrinks the parameter space in which the species coexist. If I am limited by N, and you are limited by P, I can take up excess P from the environment and drive your growth rate down. From what I can tell, </w:t>
      </w:r>
      <w:proofErr w:type="spellStart"/>
      <w:r>
        <w:t>Letten’s</w:t>
      </w:r>
      <w:proofErr w:type="spellEnd"/>
      <w:r>
        <w:t xml:space="preserve"> method, numerical solution for the equilibrium condition, and numerical simulation for the sensitivity method </w:t>
      </w:r>
      <w:proofErr w:type="gramStart"/>
      <w:r>
        <w:t>are in agreement</w:t>
      </w:r>
      <w:proofErr w:type="gramEnd"/>
      <w:r>
        <w:t xml:space="preserve"> when surplus storage is changed.  </w:t>
      </w:r>
    </w:p>
  </w:comment>
  <w:comment w:id="1" w:author="OSCAR Chang" w:date="2018-08-14T20:44:00Z" w:initials="OC">
    <w:p w14:paraId="7D0BA52A" w14:textId="77777777" w:rsidR="001E52B3" w:rsidRDefault="001E52B3">
      <w:pPr>
        <w:pStyle w:val="CommentText"/>
        <w:rPr>
          <w:lang w:eastAsia="zh-TW"/>
        </w:rPr>
      </w:pPr>
      <w:r>
        <w:rPr>
          <w:rStyle w:val="CommentReference"/>
        </w:rPr>
        <w:annotationRef/>
      </w:r>
      <w:r>
        <w:t>I</w:t>
      </w:r>
      <w:r>
        <w:rPr>
          <w:rFonts w:hint="eastAsia"/>
          <w:lang w:eastAsia="zh-TW"/>
        </w:rPr>
        <w:t xml:space="preserve"> </w:t>
      </w:r>
      <w:r>
        <w:rPr>
          <w:lang w:eastAsia="zh-TW"/>
        </w:rPr>
        <w:t xml:space="preserve">totally agree with this point. </w:t>
      </w:r>
    </w:p>
    <w:p w14:paraId="5C620AA4" w14:textId="77777777" w:rsidR="001E52B3" w:rsidRDefault="001E52B3">
      <w:pPr>
        <w:pStyle w:val="CommentText"/>
      </w:pPr>
    </w:p>
    <w:p w14:paraId="7D09F5B8" w14:textId="7A64394B" w:rsidR="001E52B3" w:rsidRDefault="001E52B3">
      <w:pPr>
        <w:pStyle w:val="CommentText"/>
      </w:pPr>
      <w:r>
        <w:t>Perhaps, we can change the existing example to the following</w:t>
      </w:r>
      <w:r>
        <w:rPr>
          <w:lang w:eastAsia="zh-TW"/>
        </w:rPr>
        <w:t xml:space="preserve">? This might be a bad idea as the existing one </w:t>
      </w:r>
      <w:r>
        <w:t>is rather simple and straightforward</w:t>
      </w:r>
      <w:r>
        <w:rPr>
          <w:rFonts w:hint="eastAsia"/>
          <w:lang w:eastAsia="zh-TW"/>
        </w:rPr>
        <w:t xml:space="preserve"> </w:t>
      </w:r>
      <w:r>
        <w:t xml:space="preserve">but the following one is rather complex… </w:t>
      </w:r>
    </w:p>
    <w:p w14:paraId="1B87C0B8" w14:textId="77777777" w:rsidR="001E52B3" w:rsidRDefault="001E52B3">
      <w:pPr>
        <w:pStyle w:val="CommentText"/>
      </w:pPr>
    </w:p>
    <w:p w14:paraId="70CB9A5F" w14:textId="61D3FD09" w:rsidR="001E52B3" w:rsidRDefault="001E52B3">
      <w:pPr>
        <w:pStyle w:val="CommentText"/>
      </w:pPr>
      <w:r>
        <w:t>For example, under certain environmental condition, an empiricist can parameterize Tilman’s resource ratio model (i.e. both R</w:t>
      </w:r>
      <w:r w:rsidRPr="00847AD2">
        <w:rPr>
          <w:vertAlign w:val="superscript"/>
        </w:rPr>
        <w:t>*</w:t>
      </w:r>
      <w:proofErr w:type="spellStart"/>
      <w:r w:rsidRPr="00847AD2">
        <w:rPr>
          <w:vertAlign w:val="subscript"/>
        </w:rPr>
        <w:t>ij</w:t>
      </w:r>
      <w:proofErr w:type="spellEnd"/>
      <w:r>
        <w:t xml:space="preserve"> and </w:t>
      </w:r>
      <w:proofErr w:type="spellStart"/>
      <w:r>
        <w:t>C</w:t>
      </w:r>
      <w:r w:rsidRPr="00847AD2">
        <w:rPr>
          <w:vertAlign w:val="subscript"/>
        </w:rPr>
        <w:t>i</w:t>
      </w:r>
      <w:r>
        <w:rPr>
          <w:vertAlign w:val="subscript"/>
        </w:rPr>
        <w:t>j</w:t>
      </w:r>
      <w:proofErr w:type="spellEnd"/>
      <w:r>
        <w:rPr>
          <w:vertAlign w:val="subscript"/>
        </w:rPr>
        <w:t>,</w:t>
      </w:r>
      <w:r w:rsidRPr="00857975">
        <w:t xml:space="preserve"> so</w:t>
      </w:r>
      <w:r>
        <w:t xml:space="preserve"> that not just the isocline but also the impact of one species on the resource that limits the other one</w:t>
      </w:r>
      <w:r>
        <w:rPr>
          <w:rFonts w:hint="eastAsia"/>
          <w:lang w:eastAsia="zh-TW"/>
        </w:rPr>
        <w:t>)</w:t>
      </w:r>
      <w:r>
        <w:t xml:space="preserve">, and then calculate intra-and inter-specific competition coefficients. In such condition species coexistence predicted by the intra-and inter-specific competition coefficients can be compared to the observed species dynamics. </w:t>
      </w:r>
    </w:p>
    <w:p w14:paraId="4F30534B" w14:textId="77777777" w:rsidR="001E52B3" w:rsidRDefault="001E52B3">
      <w:pPr>
        <w:pStyle w:val="CommentText"/>
      </w:pPr>
    </w:p>
    <w:p w14:paraId="03EDF614" w14:textId="609ECA14" w:rsidR="001E52B3" w:rsidRDefault="001E52B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79EB83" w15:done="0"/>
  <w15:commentEx w15:paraId="03EDF614" w15:paraIdParent="0479EB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79EB83" w16cid:durableId="1F16F91C"/>
  <w16cid:commentId w16cid:paraId="03EDF614" w16cid:durableId="1F1DBD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E026A" w14:textId="77777777" w:rsidR="005F6553" w:rsidRDefault="005F6553" w:rsidP="00EF42D4">
      <w:pPr>
        <w:spacing w:line="240" w:lineRule="auto"/>
      </w:pPr>
      <w:r>
        <w:separator/>
      </w:r>
    </w:p>
  </w:endnote>
  <w:endnote w:type="continuationSeparator" w:id="0">
    <w:p w14:paraId="10D8F039" w14:textId="77777777" w:rsidR="005F6553" w:rsidRDefault="005F6553"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12FCD5" w14:textId="77777777" w:rsidR="005F6553" w:rsidRDefault="005F6553" w:rsidP="00EF42D4">
      <w:pPr>
        <w:spacing w:line="240" w:lineRule="auto"/>
      </w:pPr>
      <w:r>
        <w:separator/>
      </w:r>
    </w:p>
  </w:footnote>
  <w:footnote w:type="continuationSeparator" w:id="0">
    <w:p w14:paraId="50E5C554" w14:textId="77777777" w:rsidR="005F6553" w:rsidRDefault="005F6553"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6F51"/>
    <w:rsid w:val="000357A8"/>
    <w:rsid w:val="00037DD9"/>
    <w:rsid w:val="000677FA"/>
    <w:rsid w:val="000C2981"/>
    <w:rsid w:val="000D1B82"/>
    <w:rsid w:val="000F21BA"/>
    <w:rsid w:val="00107107"/>
    <w:rsid w:val="00144BB6"/>
    <w:rsid w:val="00176B97"/>
    <w:rsid w:val="001B56F2"/>
    <w:rsid w:val="001C16F8"/>
    <w:rsid w:val="001C2812"/>
    <w:rsid w:val="001E1092"/>
    <w:rsid w:val="001E52B3"/>
    <w:rsid w:val="001F4B16"/>
    <w:rsid w:val="001F6144"/>
    <w:rsid w:val="00205033"/>
    <w:rsid w:val="00222AD6"/>
    <w:rsid w:val="0025241C"/>
    <w:rsid w:val="00262248"/>
    <w:rsid w:val="00277918"/>
    <w:rsid w:val="00290D67"/>
    <w:rsid w:val="00294556"/>
    <w:rsid w:val="002B309B"/>
    <w:rsid w:val="002B3371"/>
    <w:rsid w:val="002F2925"/>
    <w:rsid w:val="00301BB0"/>
    <w:rsid w:val="00303135"/>
    <w:rsid w:val="0030436C"/>
    <w:rsid w:val="00307DBE"/>
    <w:rsid w:val="003236B8"/>
    <w:rsid w:val="00351A06"/>
    <w:rsid w:val="00371339"/>
    <w:rsid w:val="003E0E34"/>
    <w:rsid w:val="003E1E8D"/>
    <w:rsid w:val="003E3CE9"/>
    <w:rsid w:val="004044A2"/>
    <w:rsid w:val="00411B9B"/>
    <w:rsid w:val="00412E32"/>
    <w:rsid w:val="004204E8"/>
    <w:rsid w:val="00492A43"/>
    <w:rsid w:val="00493E47"/>
    <w:rsid w:val="004960EB"/>
    <w:rsid w:val="004A7794"/>
    <w:rsid w:val="004B260E"/>
    <w:rsid w:val="004F6B56"/>
    <w:rsid w:val="0050474B"/>
    <w:rsid w:val="00506AF9"/>
    <w:rsid w:val="00507DFC"/>
    <w:rsid w:val="00543372"/>
    <w:rsid w:val="005505D8"/>
    <w:rsid w:val="00570EEB"/>
    <w:rsid w:val="0057587E"/>
    <w:rsid w:val="00582F46"/>
    <w:rsid w:val="005A5909"/>
    <w:rsid w:val="005B0147"/>
    <w:rsid w:val="005B1A64"/>
    <w:rsid w:val="005B6D56"/>
    <w:rsid w:val="005B757E"/>
    <w:rsid w:val="005C1D36"/>
    <w:rsid w:val="005C49C8"/>
    <w:rsid w:val="005D5244"/>
    <w:rsid w:val="005F6553"/>
    <w:rsid w:val="0061153E"/>
    <w:rsid w:val="0061165B"/>
    <w:rsid w:val="006521F0"/>
    <w:rsid w:val="006746D5"/>
    <w:rsid w:val="00694F7B"/>
    <w:rsid w:val="006E69F1"/>
    <w:rsid w:val="0070393F"/>
    <w:rsid w:val="00725D3C"/>
    <w:rsid w:val="00734FD8"/>
    <w:rsid w:val="00737B71"/>
    <w:rsid w:val="0076155A"/>
    <w:rsid w:val="0077598A"/>
    <w:rsid w:val="00794E37"/>
    <w:rsid w:val="007A561A"/>
    <w:rsid w:val="007C083B"/>
    <w:rsid w:val="007D2365"/>
    <w:rsid w:val="007E2CE1"/>
    <w:rsid w:val="007F2691"/>
    <w:rsid w:val="00803600"/>
    <w:rsid w:val="008109E5"/>
    <w:rsid w:val="00824BB4"/>
    <w:rsid w:val="00834358"/>
    <w:rsid w:val="00847AD2"/>
    <w:rsid w:val="00857924"/>
    <w:rsid w:val="00857975"/>
    <w:rsid w:val="0086054F"/>
    <w:rsid w:val="008643A1"/>
    <w:rsid w:val="00873754"/>
    <w:rsid w:val="008A1084"/>
    <w:rsid w:val="008A1B23"/>
    <w:rsid w:val="008D1F87"/>
    <w:rsid w:val="008F0F14"/>
    <w:rsid w:val="008F5F30"/>
    <w:rsid w:val="00900E3F"/>
    <w:rsid w:val="00905F2D"/>
    <w:rsid w:val="00910192"/>
    <w:rsid w:val="0092330A"/>
    <w:rsid w:val="0094303A"/>
    <w:rsid w:val="009B53A2"/>
    <w:rsid w:val="009B721E"/>
    <w:rsid w:val="009C62C1"/>
    <w:rsid w:val="009E0D39"/>
    <w:rsid w:val="009E2CCD"/>
    <w:rsid w:val="009E5FED"/>
    <w:rsid w:val="009E6952"/>
    <w:rsid w:val="009F29C6"/>
    <w:rsid w:val="009F328C"/>
    <w:rsid w:val="00A07639"/>
    <w:rsid w:val="00A21DAB"/>
    <w:rsid w:val="00A43FB1"/>
    <w:rsid w:val="00A4438F"/>
    <w:rsid w:val="00A57201"/>
    <w:rsid w:val="00A60FE8"/>
    <w:rsid w:val="00A62853"/>
    <w:rsid w:val="00A656E9"/>
    <w:rsid w:val="00A66529"/>
    <w:rsid w:val="00A96538"/>
    <w:rsid w:val="00AA1D9C"/>
    <w:rsid w:val="00AC0D57"/>
    <w:rsid w:val="00AE2061"/>
    <w:rsid w:val="00AE60AE"/>
    <w:rsid w:val="00B0403D"/>
    <w:rsid w:val="00B1163F"/>
    <w:rsid w:val="00B1291C"/>
    <w:rsid w:val="00B24FC3"/>
    <w:rsid w:val="00B3508F"/>
    <w:rsid w:val="00B51AF7"/>
    <w:rsid w:val="00B52C74"/>
    <w:rsid w:val="00B53294"/>
    <w:rsid w:val="00B76E7F"/>
    <w:rsid w:val="00B90B60"/>
    <w:rsid w:val="00BB1220"/>
    <w:rsid w:val="00BB2EB2"/>
    <w:rsid w:val="00BC23F1"/>
    <w:rsid w:val="00BD3A7B"/>
    <w:rsid w:val="00BD7D2B"/>
    <w:rsid w:val="00BE5EBA"/>
    <w:rsid w:val="00C23696"/>
    <w:rsid w:val="00C4550E"/>
    <w:rsid w:val="00C6492E"/>
    <w:rsid w:val="00C903A3"/>
    <w:rsid w:val="00CA55C7"/>
    <w:rsid w:val="00CC4294"/>
    <w:rsid w:val="00CE29AE"/>
    <w:rsid w:val="00D0738E"/>
    <w:rsid w:val="00D07EFB"/>
    <w:rsid w:val="00D13915"/>
    <w:rsid w:val="00D2074B"/>
    <w:rsid w:val="00D20E7A"/>
    <w:rsid w:val="00D3751B"/>
    <w:rsid w:val="00D526F1"/>
    <w:rsid w:val="00D6430E"/>
    <w:rsid w:val="00D70762"/>
    <w:rsid w:val="00DB6518"/>
    <w:rsid w:val="00DC535B"/>
    <w:rsid w:val="00E10F6B"/>
    <w:rsid w:val="00E152D2"/>
    <w:rsid w:val="00E43EC9"/>
    <w:rsid w:val="00E4489E"/>
    <w:rsid w:val="00E71F1A"/>
    <w:rsid w:val="00E8424A"/>
    <w:rsid w:val="00E95056"/>
    <w:rsid w:val="00EA0D10"/>
    <w:rsid w:val="00EB2889"/>
    <w:rsid w:val="00EB3CE4"/>
    <w:rsid w:val="00EC2AEA"/>
    <w:rsid w:val="00EF2766"/>
    <w:rsid w:val="00EF42D4"/>
    <w:rsid w:val="00F13328"/>
    <w:rsid w:val="00F246A4"/>
    <w:rsid w:val="00F34BB5"/>
    <w:rsid w:val="00F7286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A8E72-D9FC-4DE1-839A-64996F182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6128</Words>
  <Characters>34935</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2</cp:revision>
  <dcterms:created xsi:type="dcterms:W3CDTF">2018-08-17T20:55:00Z</dcterms:created>
  <dcterms:modified xsi:type="dcterms:W3CDTF">2018-08-17T20:55:00Z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